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2E95A" w14:textId="77777777" w:rsidR="000B0662" w:rsidRPr="00C40457" w:rsidRDefault="000B0662" w:rsidP="000B0662">
      <w:pPr>
        <w:spacing w:line="240" w:lineRule="auto"/>
        <w:ind w:left="-90" w:hanging="270"/>
        <w:jc w:val="center"/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shd w:val="clear" w:color="auto" w:fill="FFFFFF"/>
          <w:lang w:val="en-PH"/>
        </w:rPr>
      </w:pPr>
      <w:r w:rsidRPr="00C40457"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shd w:val="clear" w:color="auto" w:fill="FFFFFF"/>
          <w:lang w:val="en-PH"/>
        </w:rPr>
        <w:t>Press Talking Points </w:t>
      </w:r>
    </w:p>
    <w:p w14:paraId="04362189" w14:textId="77777777" w:rsidR="000B0662" w:rsidRPr="00C40457" w:rsidRDefault="000B0662" w:rsidP="000B0662">
      <w:pPr>
        <w:spacing w:line="240" w:lineRule="auto"/>
        <w:ind w:left="-90" w:hanging="270"/>
        <w:jc w:val="center"/>
        <w:rPr>
          <w:rFonts w:ascii="Avenir Book" w:eastAsia="Times New Roman" w:hAnsi="Avenir Book" w:cs="Times New Roman"/>
          <w:sz w:val="24"/>
          <w:szCs w:val="24"/>
          <w:lang w:val="en-PH"/>
        </w:rPr>
      </w:pPr>
    </w:p>
    <w:p w14:paraId="515EEAAD" w14:textId="77777777" w:rsidR="000B0662" w:rsidRPr="00C40457" w:rsidRDefault="000B0662" w:rsidP="000B0662">
      <w:pPr>
        <w:numPr>
          <w:ilvl w:val="0"/>
          <w:numId w:val="19"/>
        </w:numPr>
        <w:spacing w:line="240" w:lineRule="auto"/>
        <w:textAlignment w:val="baseline"/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shd w:val="clear" w:color="auto" w:fill="FFFFFF"/>
          <w:lang w:val="en-PH"/>
        </w:rPr>
        <w:t>Understanding the Power of Hope: </w:t>
      </w:r>
    </w:p>
    <w:p w14:paraId="3FF8F302" w14:textId="77777777" w:rsidR="000B0662" w:rsidRPr="00C40457" w:rsidRDefault="000B0662" w:rsidP="000B0662">
      <w:pPr>
        <w:spacing w:line="240" w:lineRule="auto"/>
        <w:ind w:left="720" w:firstLine="0"/>
        <w:textAlignment w:val="baseline"/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lang w:val="en-PH"/>
        </w:rPr>
      </w:pPr>
    </w:p>
    <w:p w14:paraId="415DC58A" w14:textId="77777777" w:rsidR="000B0662" w:rsidRPr="00C40457" w:rsidRDefault="000B0662" w:rsidP="000B0662">
      <w:pPr>
        <w:numPr>
          <w:ilvl w:val="1"/>
          <w:numId w:val="20"/>
        </w:numPr>
        <w:spacing w:line="240" w:lineRule="auto"/>
        <w:ind w:left="144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color w:val="000000"/>
          <w:sz w:val="24"/>
          <w:szCs w:val="24"/>
          <w:shd w:val="clear" w:color="auto" w:fill="FFFFFF"/>
          <w:lang w:val="en-PH"/>
        </w:rPr>
        <w:t>Highlight that hope is defined as positive emotions and inspired actions; hope is teachable, measurable, and learnable. </w:t>
      </w:r>
    </w:p>
    <w:p w14:paraId="45701F0B" w14:textId="77777777" w:rsidR="000B0662" w:rsidRPr="00C40457" w:rsidRDefault="000B0662" w:rsidP="000B0662">
      <w:pPr>
        <w:numPr>
          <w:ilvl w:val="1"/>
          <w:numId w:val="21"/>
        </w:numPr>
        <w:spacing w:line="240" w:lineRule="auto"/>
        <w:ind w:left="144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color w:val="000000"/>
          <w:sz w:val="24"/>
          <w:szCs w:val="24"/>
          <w:shd w:val="clear" w:color="auto" w:fill="FFFFFF"/>
          <w:lang w:val="en-PH"/>
        </w:rPr>
        <w:t>Explain how higher hope levels lead to goal achievement by fostering agency-related (i.e., the belief that they can attain their goals and are successful in life) and pathway-related thoughts (i.e., the belief that they can overcome barriers and develop alternative solutions to goal attainment when needed).</w:t>
      </w:r>
    </w:p>
    <w:p w14:paraId="3AB9C5CC" w14:textId="77777777" w:rsidR="000B0662" w:rsidRPr="00C40457" w:rsidRDefault="000B0662" w:rsidP="000B0662">
      <w:pPr>
        <w:spacing w:line="240" w:lineRule="auto"/>
        <w:ind w:left="1440" w:firstLine="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</w:p>
    <w:p w14:paraId="7963AFA6" w14:textId="77777777" w:rsidR="000B0662" w:rsidRPr="00C40457" w:rsidRDefault="000B0662" w:rsidP="000B0662">
      <w:pPr>
        <w:numPr>
          <w:ilvl w:val="0"/>
          <w:numId w:val="19"/>
        </w:numPr>
        <w:spacing w:line="240" w:lineRule="auto"/>
        <w:textAlignment w:val="baseline"/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shd w:val="clear" w:color="auto" w:fill="FFFFFF"/>
          <w:lang w:val="en-PH"/>
        </w:rPr>
        <w:t>Impact of Hope Levels </w:t>
      </w:r>
    </w:p>
    <w:p w14:paraId="31B786E0" w14:textId="77777777" w:rsidR="000B0662" w:rsidRPr="00C40457" w:rsidRDefault="000B0662" w:rsidP="000B0662">
      <w:pPr>
        <w:spacing w:line="240" w:lineRule="auto"/>
        <w:ind w:left="720" w:firstLine="0"/>
        <w:textAlignment w:val="baseline"/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lang w:val="en-PH"/>
        </w:rPr>
      </w:pPr>
    </w:p>
    <w:p w14:paraId="00567E87" w14:textId="77777777" w:rsidR="000B0662" w:rsidRPr="00C40457" w:rsidRDefault="000B0662" w:rsidP="000B0662">
      <w:pPr>
        <w:numPr>
          <w:ilvl w:val="1"/>
          <w:numId w:val="22"/>
        </w:numPr>
        <w:spacing w:line="240" w:lineRule="auto"/>
        <w:ind w:left="144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color w:val="000000"/>
          <w:sz w:val="24"/>
          <w:szCs w:val="24"/>
          <w:shd w:val="clear" w:color="auto" w:fill="FFFFFF"/>
          <w:lang w:val="en-PH"/>
        </w:rPr>
        <w:t>Discuss the positive impact of higher hope levels:</w:t>
      </w:r>
    </w:p>
    <w:p w14:paraId="1140A0E4" w14:textId="77777777" w:rsidR="000B0662" w:rsidRPr="00C40457" w:rsidRDefault="000B0662" w:rsidP="000B0662">
      <w:pPr>
        <w:numPr>
          <w:ilvl w:val="2"/>
          <w:numId w:val="23"/>
        </w:numPr>
        <w:spacing w:line="240" w:lineRule="auto"/>
        <w:ind w:left="216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 xml:space="preserve">Increased </w:t>
      </w:r>
      <w:hyperlink r:id="rId5" w:history="1">
        <w:r w:rsidRPr="00C40457">
          <w:rPr>
            <w:rFonts w:ascii="Avenir Book" w:eastAsia="Times New Roman" w:hAnsi="Avenir Book" w:cs="Times New Roman"/>
            <w:color w:val="1155CC"/>
            <w:sz w:val="24"/>
            <w:szCs w:val="24"/>
            <w:u w:val="single"/>
            <w:lang w:val="en-PH"/>
          </w:rPr>
          <w:t>resilience</w:t>
        </w:r>
      </w:hyperlink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 xml:space="preserve"> against adversity </w:t>
      </w:r>
    </w:p>
    <w:p w14:paraId="776905DF" w14:textId="77777777" w:rsidR="000B0662" w:rsidRPr="00C40457" w:rsidRDefault="00000000" w:rsidP="000B0662">
      <w:pPr>
        <w:numPr>
          <w:ilvl w:val="2"/>
          <w:numId w:val="24"/>
        </w:numPr>
        <w:spacing w:line="240" w:lineRule="auto"/>
        <w:ind w:left="216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hyperlink r:id="rId6" w:history="1">
        <w:r w:rsidR="000B0662" w:rsidRPr="00C40457">
          <w:rPr>
            <w:rFonts w:ascii="Avenir Book" w:eastAsia="Times New Roman" w:hAnsi="Avenir Book" w:cs="Times New Roman"/>
            <w:color w:val="1155CC"/>
            <w:sz w:val="24"/>
            <w:szCs w:val="24"/>
            <w:u w:val="single"/>
            <w:lang w:val="en-PH"/>
          </w:rPr>
          <w:t>Increased productivity in the workplace by 14%</w:t>
        </w:r>
      </w:hyperlink>
      <w:r w:rsidR="000B0662"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>, outperforming productivity based on the worker’s intelligence, optimism, and self-efficacy</w:t>
      </w:r>
    </w:p>
    <w:p w14:paraId="13132951" w14:textId="77777777" w:rsidR="000B0662" w:rsidRPr="00C40457" w:rsidRDefault="000B0662" w:rsidP="000B0662">
      <w:pPr>
        <w:numPr>
          <w:ilvl w:val="2"/>
          <w:numId w:val="25"/>
        </w:numPr>
        <w:spacing w:line="240" w:lineRule="auto"/>
        <w:ind w:left="216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 xml:space="preserve">Increased employee </w:t>
      </w:r>
      <w:hyperlink r:id="rId7" w:history="1">
        <w:r w:rsidRPr="00C40457">
          <w:rPr>
            <w:rFonts w:ascii="Avenir Book" w:eastAsia="Times New Roman" w:hAnsi="Avenir Book" w:cs="Times New Roman"/>
            <w:color w:val="1155CC"/>
            <w:sz w:val="24"/>
            <w:szCs w:val="24"/>
            <w:u w:val="single"/>
            <w:lang w:val="en-PH"/>
          </w:rPr>
          <w:t>retention</w:t>
        </w:r>
      </w:hyperlink>
    </w:p>
    <w:p w14:paraId="6124C44B" w14:textId="77777777" w:rsidR="000B0662" w:rsidRPr="00C40457" w:rsidRDefault="00000000" w:rsidP="000B0662">
      <w:pPr>
        <w:numPr>
          <w:ilvl w:val="2"/>
          <w:numId w:val="26"/>
        </w:numPr>
        <w:spacing w:line="240" w:lineRule="auto"/>
        <w:ind w:left="216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hyperlink r:id="rId8" w:history="1">
        <w:r w:rsidR="000B0662" w:rsidRPr="00C40457">
          <w:rPr>
            <w:rFonts w:ascii="Avenir Book" w:eastAsia="Times New Roman" w:hAnsi="Avenir Book" w:cs="Times New Roman"/>
            <w:color w:val="1155CC"/>
            <w:sz w:val="24"/>
            <w:szCs w:val="24"/>
            <w:u w:val="single"/>
            <w:lang w:val="en-PH"/>
          </w:rPr>
          <w:t>Increased sleep</w:t>
        </w:r>
      </w:hyperlink>
      <w:r w:rsidR="000B0662"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 xml:space="preserve"> quality </w:t>
      </w:r>
    </w:p>
    <w:p w14:paraId="5A8B501B" w14:textId="77777777" w:rsidR="000B0662" w:rsidRPr="00C40457" w:rsidRDefault="000B0662" w:rsidP="000B0662">
      <w:pPr>
        <w:numPr>
          <w:ilvl w:val="2"/>
          <w:numId w:val="27"/>
        </w:numPr>
        <w:spacing w:line="240" w:lineRule="auto"/>
        <w:ind w:left="216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color w:val="1155CC"/>
          <w:sz w:val="24"/>
          <w:szCs w:val="24"/>
          <w:u w:val="single"/>
          <w:lang w:val="en-PH"/>
        </w:rPr>
        <w:t>Increased t</w:t>
      </w:r>
      <w:hyperlink r:id="rId9" w:history="1">
        <w:r w:rsidRPr="00C40457">
          <w:rPr>
            <w:rFonts w:ascii="Avenir Book" w:eastAsia="Times New Roman" w:hAnsi="Avenir Book" w:cs="Times New Roman"/>
            <w:color w:val="1155CC"/>
            <w:sz w:val="24"/>
            <w:szCs w:val="24"/>
            <w:u w:val="single"/>
            <w:lang w:val="en-PH"/>
          </w:rPr>
          <w:t>hriving</w:t>
        </w:r>
      </w:hyperlink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 xml:space="preserve"> work environments</w:t>
      </w:r>
    </w:p>
    <w:p w14:paraId="2D8CF400" w14:textId="77777777" w:rsidR="000B0662" w:rsidRPr="00C40457" w:rsidRDefault="00000000" w:rsidP="000B0662">
      <w:pPr>
        <w:numPr>
          <w:ilvl w:val="2"/>
          <w:numId w:val="28"/>
        </w:numPr>
        <w:spacing w:line="240" w:lineRule="auto"/>
        <w:ind w:left="216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hyperlink r:id="rId10" w:history="1">
        <w:r w:rsidR="000B0662" w:rsidRPr="00C40457">
          <w:rPr>
            <w:rFonts w:ascii="Avenir Book" w:eastAsia="Times New Roman" w:hAnsi="Avenir Book" w:cs="Times New Roman"/>
            <w:color w:val="1155CC"/>
            <w:sz w:val="24"/>
            <w:szCs w:val="24"/>
            <w:u w:val="single"/>
            <w:lang w:val="en-PH"/>
          </w:rPr>
          <w:t>Increased resilience</w:t>
        </w:r>
      </w:hyperlink>
      <w:r w:rsidR="000B0662"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 xml:space="preserve"> during crises and challenges often found in the workplace</w:t>
      </w:r>
    </w:p>
    <w:p w14:paraId="137975D3" w14:textId="77777777" w:rsidR="000B0662" w:rsidRPr="00C40457" w:rsidRDefault="000B0662" w:rsidP="000B0662">
      <w:pPr>
        <w:numPr>
          <w:ilvl w:val="2"/>
          <w:numId w:val="29"/>
        </w:numPr>
        <w:spacing w:line="240" w:lineRule="auto"/>
        <w:ind w:left="216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 xml:space="preserve">Decreased the risk of developing </w:t>
      </w:r>
      <w:hyperlink r:id="rId11" w:history="1">
        <w:r w:rsidRPr="00C40457">
          <w:rPr>
            <w:rFonts w:ascii="Avenir Book" w:eastAsia="Times New Roman" w:hAnsi="Avenir Book" w:cs="Times New Roman"/>
            <w:color w:val="1155CC"/>
            <w:sz w:val="24"/>
            <w:szCs w:val="24"/>
            <w:u w:val="single"/>
            <w:lang w:val="en-PH"/>
          </w:rPr>
          <w:t>chronic conditions</w:t>
        </w:r>
      </w:hyperlink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>, such as cardiovascular disease</w:t>
      </w:r>
    </w:p>
    <w:p w14:paraId="35A9E09E" w14:textId="77777777" w:rsidR="000B0662" w:rsidRPr="00C40457" w:rsidRDefault="000B0662" w:rsidP="000B0662">
      <w:pPr>
        <w:numPr>
          <w:ilvl w:val="2"/>
          <w:numId w:val="30"/>
        </w:numPr>
        <w:spacing w:line="240" w:lineRule="auto"/>
        <w:ind w:left="216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 xml:space="preserve">Decreased and protect against </w:t>
      </w:r>
      <w:hyperlink r:id="rId12" w:history="1">
        <w:r w:rsidRPr="00C40457">
          <w:rPr>
            <w:rFonts w:ascii="Avenir Book" w:eastAsia="Times New Roman" w:hAnsi="Avenir Book" w:cs="Times New Roman"/>
            <w:color w:val="1155CC"/>
            <w:sz w:val="24"/>
            <w:szCs w:val="24"/>
            <w:u w:val="single"/>
            <w:lang w:val="en-PH"/>
          </w:rPr>
          <w:t>mental illness</w:t>
        </w:r>
      </w:hyperlink>
    </w:p>
    <w:p w14:paraId="511AD361" w14:textId="77777777" w:rsidR="000B0662" w:rsidRPr="00C40457" w:rsidRDefault="000B0662" w:rsidP="000B0662">
      <w:pPr>
        <w:numPr>
          <w:ilvl w:val="2"/>
          <w:numId w:val="31"/>
        </w:numPr>
        <w:spacing w:line="240" w:lineRule="auto"/>
        <w:ind w:left="216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>Decreased  risky behaviors</w:t>
      </w:r>
    </w:p>
    <w:p w14:paraId="0D2C231B" w14:textId="77777777" w:rsidR="000B0662" w:rsidRPr="00C40457" w:rsidRDefault="000B0662" w:rsidP="000B0662">
      <w:pPr>
        <w:numPr>
          <w:ilvl w:val="2"/>
          <w:numId w:val="32"/>
        </w:numPr>
        <w:spacing w:line="240" w:lineRule="auto"/>
        <w:ind w:left="216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 xml:space="preserve">Decreased </w:t>
      </w:r>
      <w:hyperlink r:id="rId13" w:history="1">
        <w:r w:rsidRPr="00C40457">
          <w:rPr>
            <w:rFonts w:ascii="Avenir Book" w:eastAsia="Times New Roman" w:hAnsi="Avenir Book" w:cs="Times New Roman"/>
            <w:color w:val="1155CC"/>
            <w:sz w:val="24"/>
            <w:szCs w:val="24"/>
            <w:u w:val="single"/>
            <w:lang w:val="en-PH"/>
          </w:rPr>
          <w:t>suicide</w:t>
        </w:r>
      </w:hyperlink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> </w:t>
      </w:r>
    </w:p>
    <w:p w14:paraId="0BD7C1ED" w14:textId="77777777" w:rsidR="000B0662" w:rsidRPr="00C40457" w:rsidRDefault="000B0662" w:rsidP="000B0662">
      <w:pPr>
        <w:spacing w:line="240" w:lineRule="auto"/>
        <w:ind w:left="2160" w:firstLine="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</w:p>
    <w:p w14:paraId="714B87BD" w14:textId="77777777" w:rsidR="000B0662" w:rsidRPr="00C40457" w:rsidRDefault="000B0662" w:rsidP="000B0662">
      <w:pPr>
        <w:numPr>
          <w:ilvl w:val="0"/>
          <w:numId w:val="19"/>
        </w:numPr>
        <w:spacing w:line="240" w:lineRule="auto"/>
        <w:textAlignment w:val="baseline"/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lang w:val="en-PH"/>
        </w:rPr>
        <w:t>Hope and Sustainable Developmental Goals (SDGs)</w:t>
      </w:r>
    </w:p>
    <w:p w14:paraId="5F5E8A36" w14:textId="77777777" w:rsidR="000B0662" w:rsidRPr="00C40457" w:rsidRDefault="000B0662" w:rsidP="000B0662">
      <w:pPr>
        <w:spacing w:line="240" w:lineRule="auto"/>
        <w:ind w:left="720" w:firstLine="0"/>
        <w:textAlignment w:val="baseline"/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lang w:val="en-PH"/>
        </w:rPr>
      </w:pPr>
    </w:p>
    <w:p w14:paraId="79A3620E" w14:textId="77777777" w:rsidR="000B0662" w:rsidRPr="00C40457" w:rsidRDefault="000B0662" w:rsidP="000B0662">
      <w:pPr>
        <w:numPr>
          <w:ilvl w:val="1"/>
          <w:numId w:val="33"/>
        </w:numPr>
        <w:spacing w:line="240" w:lineRule="auto"/>
        <w:ind w:left="144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>Highlight the correlation between higher hope levels and the ability to set and achieve the SDGs </w:t>
      </w:r>
    </w:p>
    <w:p w14:paraId="0BF5B1CB" w14:textId="77777777" w:rsidR="000B0662" w:rsidRPr="00C40457" w:rsidRDefault="000B0662" w:rsidP="000B0662">
      <w:pPr>
        <w:numPr>
          <w:ilvl w:val="2"/>
          <w:numId w:val="34"/>
        </w:numPr>
        <w:spacing w:line="240" w:lineRule="auto"/>
        <w:ind w:left="216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 xml:space="preserve">Those </w:t>
      </w:r>
      <w:hyperlink r:id="rId14" w:history="1">
        <w:r w:rsidRPr="00C40457">
          <w:rPr>
            <w:rFonts w:ascii="Avenir Book" w:eastAsia="Times New Roman" w:hAnsi="Avenir Book" w:cs="Times New Roman"/>
            <w:color w:val="1155CC"/>
            <w:sz w:val="24"/>
            <w:szCs w:val="24"/>
            <w:u w:val="single"/>
            <w:lang w:val="en-PH"/>
          </w:rPr>
          <w:t>high in hope</w:t>
        </w:r>
      </w:hyperlink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 xml:space="preserve"> have the drive and determination to persevere and meet goals while hopelessness can hinder an individual's ability to set and achieve goals.</w:t>
      </w:r>
    </w:p>
    <w:p w14:paraId="0F9E2B70" w14:textId="77777777" w:rsidR="000B0662" w:rsidRPr="00C40457" w:rsidRDefault="000B0662" w:rsidP="000B0662">
      <w:pPr>
        <w:spacing w:line="240" w:lineRule="auto"/>
        <w:ind w:left="2160" w:firstLine="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</w:p>
    <w:p w14:paraId="6BB27237" w14:textId="77777777" w:rsidR="000B0662" w:rsidRPr="00C40457" w:rsidRDefault="000B0662" w:rsidP="000B0662">
      <w:pPr>
        <w:numPr>
          <w:ilvl w:val="0"/>
          <w:numId w:val="19"/>
        </w:numPr>
        <w:spacing w:line="240" w:lineRule="auto"/>
        <w:textAlignment w:val="baseline"/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lang w:val="en-PH"/>
        </w:rPr>
        <w:t>The Urgency to Address Hopelessness</w:t>
      </w:r>
    </w:p>
    <w:p w14:paraId="341A38F5" w14:textId="77777777" w:rsidR="000B0662" w:rsidRPr="00C40457" w:rsidRDefault="000B0662" w:rsidP="000B0662">
      <w:pPr>
        <w:spacing w:line="240" w:lineRule="auto"/>
        <w:ind w:left="720" w:firstLine="0"/>
        <w:textAlignment w:val="baseline"/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lang w:val="en-PH"/>
        </w:rPr>
      </w:pPr>
    </w:p>
    <w:p w14:paraId="37D48E09" w14:textId="77777777" w:rsidR="000B0662" w:rsidRPr="00C40457" w:rsidRDefault="000B0662" w:rsidP="000B0662">
      <w:pPr>
        <w:numPr>
          <w:ilvl w:val="1"/>
          <w:numId w:val="35"/>
        </w:numPr>
        <w:spacing w:line="240" w:lineRule="auto"/>
        <w:ind w:left="144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lastRenderedPageBreak/>
        <w:t>Explain hopelessness as emotional despair and motivations helplessness often stemming from discrimination and oppression. </w:t>
      </w:r>
    </w:p>
    <w:p w14:paraId="7059B1E1" w14:textId="77777777" w:rsidR="000B0662" w:rsidRPr="00C40457" w:rsidRDefault="000B0662" w:rsidP="000B0662">
      <w:pPr>
        <w:numPr>
          <w:ilvl w:val="1"/>
          <w:numId w:val="36"/>
        </w:numPr>
        <w:spacing w:line="240" w:lineRule="auto"/>
        <w:ind w:left="144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>Emphasize that everyone experiences moments of hopelessness whether they are small (e.g., being stuck in traffic, forgetting to turn in an assignment) or big (i.e., losing a loved one, being fired). </w:t>
      </w:r>
    </w:p>
    <w:p w14:paraId="3C09F0EF" w14:textId="77777777" w:rsidR="000B0662" w:rsidRPr="00C40457" w:rsidRDefault="000B0662" w:rsidP="000B0662">
      <w:pPr>
        <w:numPr>
          <w:ilvl w:val="1"/>
          <w:numId w:val="37"/>
        </w:numPr>
        <w:spacing w:line="240" w:lineRule="auto"/>
        <w:ind w:left="144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>We must equip everyone with the skills to proactively manage moments of hopelessness to prevent persistent hopelessness, as persistent hopelessness is linked to - </w:t>
      </w:r>
    </w:p>
    <w:p w14:paraId="646CE5C0" w14:textId="77777777" w:rsidR="000B0662" w:rsidRPr="00C40457" w:rsidRDefault="000B0662" w:rsidP="000B0662">
      <w:pPr>
        <w:numPr>
          <w:ilvl w:val="2"/>
          <w:numId w:val="38"/>
        </w:numPr>
        <w:spacing w:line="240" w:lineRule="auto"/>
        <w:ind w:left="216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>Increased suicidal ideation </w:t>
      </w:r>
    </w:p>
    <w:p w14:paraId="40B6EA4A" w14:textId="77777777" w:rsidR="000B0662" w:rsidRPr="00C40457" w:rsidRDefault="000B0662" w:rsidP="000B0662">
      <w:pPr>
        <w:numPr>
          <w:ilvl w:val="2"/>
          <w:numId w:val="39"/>
        </w:numPr>
        <w:spacing w:line="240" w:lineRule="auto"/>
        <w:ind w:left="216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>Increased risk of mental health disorders, such as depression and anxiety</w:t>
      </w:r>
    </w:p>
    <w:p w14:paraId="4446F62B" w14:textId="77777777" w:rsidR="000B0662" w:rsidRPr="00C40457" w:rsidRDefault="000B0662" w:rsidP="000B0662">
      <w:pPr>
        <w:numPr>
          <w:ilvl w:val="2"/>
          <w:numId w:val="40"/>
        </w:numPr>
        <w:spacing w:line="240" w:lineRule="auto"/>
        <w:ind w:left="216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>Increased risky behaviors (e.g., substance use, reckless driving, violence, self-harm, and bullying) in teens and young adults </w:t>
      </w:r>
    </w:p>
    <w:p w14:paraId="715EAEED" w14:textId="77777777" w:rsidR="000B0662" w:rsidRPr="00C40457" w:rsidRDefault="000B0662" w:rsidP="000B0662">
      <w:pPr>
        <w:numPr>
          <w:ilvl w:val="2"/>
          <w:numId w:val="41"/>
        </w:numPr>
        <w:spacing w:line="240" w:lineRule="auto"/>
        <w:ind w:left="216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>Increased risk of chronic health outcomes </w:t>
      </w:r>
    </w:p>
    <w:p w14:paraId="5869BC19" w14:textId="77777777" w:rsidR="000B0662" w:rsidRPr="00C40457" w:rsidRDefault="000B0662" w:rsidP="000B0662">
      <w:pPr>
        <w:numPr>
          <w:ilvl w:val="2"/>
          <w:numId w:val="42"/>
        </w:numPr>
        <w:spacing w:line="240" w:lineRule="auto"/>
        <w:ind w:left="216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>Increased absenteeism at work and school </w:t>
      </w:r>
    </w:p>
    <w:p w14:paraId="6B61EA9D" w14:textId="77777777" w:rsidR="000B0662" w:rsidRPr="00C40457" w:rsidRDefault="000B0662" w:rsidP="000B0662">
      <w:pPr>
        <w:numPr>
          <w:ilvl w:val="2"/>
          <w:numId w:val="43"/>
        </w:numPr>
        <w:spacing w:line="240" w:lineRule="auto"/>
        <w:ind w:left="216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>Impaired job engagement and performance, leading to quicker turnover </w:t>
      </w:r>
    </w:p>
    <w:p w14:paraId="611273F2" w14:textId="77777777" w:rsidR="000B0662" w:rsidRPr="00C40457" w:rsidRDefault="000B0662" w:rsidP="000B0662">
      <w:pPr>
        <w:spacing w:line="240" w:lineRule="auto"/>
        <w:ind w:left="2160" w:firstLine="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</w:p>
    <w:p w14:paraId="26727994" w14:textId="77777777" w:rsidR="000B0662" w:rsidRPr="00C40457" w:rsidRDefault="000B0662" w:rsidP="000B0662">
      <w:pPr>
        <w:numPr>
          <w:ilvl w:val="0"/>
          <w:numId w:val="19"/>
        </w:numPr>
        <w:spacing w:line="240" w:lineRule="auto"/>
        <w:textAlignment w:val="baseline"/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lang w:val="en-PH"/>
        </w:rPr>
        <w:t>Hope across the sectors </w:t>
      </w:r>
    </w:p>
    <w:p w14:paraId="17153C71" w14:textId="77777777" w:rsidR="000B0662" w:rsidRPr="00C40457" w:rsidRDefault="000B0662" w:rsidP="000B0662">
      <w:pPr>
        <w:spacing w:line="240" w:lineRule="auto"/>
        <w:ind w:left="720" w:firstLine="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</w:p>
    <w:p w14:paraId="10AEF5DD" w14:textId="77777777" w:rsidR="000B0662" w:rsidRPr="00C40457" w:rsidRDefault="000B0662" w:rsidP="000B0662">
      <w:pPr>
        <w:numPr>
          <w:ilvl w:val="1"/>
          <w:numId w:val="44"/>
        </w:numPr>
        <w:spacing w:line="240" w:lineRule="auto"/>
        <w:ind w:left="144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lang w:val="en-PH"/>
        </w:rPr>
        <w:t>Science</w:t>
      </w:r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>: Call on scientists to share information on hope science, while studying hope-related outcomes across various populations to improve our understanding of hope. Encourage everyone to measure their hope level using the Snyder Hope Scales. </w:t>
      </w:r>
    </w:p>
    <w:p w14:paraId="231AE39F" w14:textId="77777777" w:rsidR="000B0662" w:rsidRPr="00C40457" w:rsidRDefault="000B0662" w:rsidP="000B0662">
      <w:pPr>
        <w:numPr>
          <w:ilvl w:val="1"/>
          <w:numId w:val="45"/>
        </w:numPr>
        <w:spacing w:line="240" w:lineRule="auto"/>
        <w:ind w:left="1440"/>
        <w:textAlignment w:val="baseline"/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lang w:val="en-PH"/>
        </w:rPr>
        <w:t xml:space="preserve">Art: </w:t>
      </w:r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>Illustrate how sunflower artwork serves as both a beautiful addition to the city and a resource for promoting hope activation. </w:t>
      </w:r>
    </w:p>
    <w:p w14:paraId="599B176A" w14:textId="77777777" w:rsidR="000B0662" w:rsidRPr="00C40457" w:rsidRDefault="000B0662" w:rsidP="000B0662">
      <w:pPr>
        <w:numPr>
          <w:ilvl w:val="1"/>
          <w:numId w:val="46"/>
        </w:numPr>
        <w:spacing w:line="240" w:lineRule="auto"/>
        <w:ind w:left="1440"/>
        <w:textAlignment w:val="baseline"/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lang w:val="en-PH"/>
        </w:rPr>
        <w:t xml:space="preserve">Workplace: </w:t>
      </w:r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>Emphasize the substantial economic costs of hopelessness and the ROI on investing in employee well-being.</w:t>
      </w:r>
    </w:p>
    <w:p w14:paraId="2DDE1061" w14:textId="77777777" w:rsidR="000B0662" w:rsidRPr="00C40457" w:rsidRDefault="000B0662" w:rsidP="000B0662">
      <w:pPr>
        <w:numPr>
          <w:ilvl w:val="2"/>
          <w:numId w:val="47"/>
        </w:numPr>
        <w:spacing w:line="240" w:lineRule="auto"/>
        <w:ind w:left="2160"/>
        <w:textAlignment w:val="baseline"/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color w:val="0E101A"/>
          <w:sz w:val="24"/>
          <w:szCs w:val="24"/>
          <w:shd w:val="clear" w:color="auto" w:fill="FFFFFF"/>
          <w:lang w:val="en-PH"/>
        </w:rPr>
        <w:t xml:space="preserve">Research suggests that every $1 invested into employee well-being has an ROI of </w:t>
      </w:r>
      <w:hyperlink r:id="rId15" w:history="1">
        <w:r w:rsidRPr="00C40457">
          <w:rPr>
            <w:rFonts w:ascii="Avenir Book" w:eastAsia="Times New Roman" w:hAnsi="Avenir Book" w:cs="Times New Roman"/>
            <w:color w:val="4A6EE0"/>
            <w:sz w:val="24"/>
            <w:szCs w:val="24"/>
            <w:u w:val="single"/>
            <w:shd w:val="clear" w:color="auto" w:fill="FFFFFF"/>
            <w:lang w:val="en-PH"/>
          </w:rPr>
          <w:t>$4</w:t>
        </w:r>
      </w:hyperlink>
      <w:r w:rsidRPr="00C40457">
        <w:rPr>
          <w:rFonts w:ascii="Avenir Book" w:eastAsia="Times New Roman" w:hAnsi="Avenir Book" w:cs="Times New Roman"/>
          <w:color w:val="0E101A"/>
          <w:sz w:val="24"/>
          <w:szCs w:val="24"/>
          <w:shd w:val="clear" w:color="auto" w:fill="FFFFFF"/>
          <w:lang w:val="en-PH"/>
        </w:rPr>
        <w:t>. </w:t>
      </w:r>
    </w:p>
    <w:p w14:paraId="3B272F08" w14:textId="77777777" w:rsidR="000B0662" w:rsidRPr="00C40457" w:rsidRDefault="000B0662" w:rsidP="000B0662">
      <w:pPr>
        <w:numPr>
          <w:ilvl w:val="1"/>
          <w:numId w:val="48"/>
        </w:numPr>
        <w:spacing w:line="240" w:lineRule="auto"/>
        <w:ind w:left="1440"/>
        <w:textAlignment w:val="baseline"/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lang w:val="en-PH"/>
        </w:rPr>
        <w:t xml:space="preserve">Education: </w:t>
      </w:r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>Showcase how teaching hope to our youth sets them up for success by instilling the skills needed to manage moments of hopelessness. </w:t>
      </w:r>
    </w:p>
    <w:p w14:paraId="69441EEB" w14:textId="77777777" w:rsidR="000B0662" w:rsidRPr="00C40457" w:rsidRDefault="000B0662" w:rsidP="000B0662">
      <w:pPr>
        <w:numPr>
          <w:ilvl w:val="1"/>
          <w:numId w:val="49"/>
        </w:numPr>
        <w:spacing w:line="240" w:lineRule="auto"/>
        <w:ind w:left="1440"/>
        <w:textAlignment w:val="baseline"/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lang w:val="en-PH"/>
        </w:rPr>
        <w:t xml:space="preserve">Healthcare: </w:t>
      </w:r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 xml:space="preserve">Emphasize how teaching people how to manage hopelessness may protect against depression and chronic health conditions. Depression is </w:t>
      </w:r>
      <w:hyperlink r:id="rId16" w:history="1">
        <w:r w:rsidRPr="00C40457">
          <w:rPr>
            <w:rFonts w:ascii="Avenir Book" w:eastAsia="Times New Roman" w:hAnsi="Avenir Book" w:cs="Times New Roman"/>
            <w:color w:val="1155CC"/>
            <w:sz w:val="24"/>
            <w:szCs w:val="24"/>
            <w:u w:val="single"/>
            <w:lang w:val="en-PH"/>
          </w:rPr>
          <w:t>the leading</w:t>
        </w:r>
      </w:hyperlink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 xml:space="preserve"> cause of disability worldwide, and in total, poor mental health was estimated to cost the world economy approximately</w:t>
      </w:r>
      <w:hyperlink r:id="rId17" w:history="1">
        <w:r w:rsidRPr="00C40457">
          <w:rPr>
            <w:rFonts w:ascii="Avenir Book" w:eastAsia="Times New Roman" w:hAnsi="Avenir Book" w:cs="Times New Roman"/>
            <w:color w:val="1155CC"/>
            <w:sz w:val="24"/>
            <w:szCs w:val="24"/>
            <w:u w:val="single"/>
            <w:lang w:val="en-PH"/>
          </w:rPr>
          <w:t xml:space="preserve"> $2·5 trillion</w:t>
        </w:r>
      </w:hyperlink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 xml:space="preserve"> per year in poor health and reduced productivity in 2010, a cost projected to rise to $6 trillion by 2030. </w:t>
      </w:r>
    </w:p>
    <w:p w14:paraId="7563157A" w14:textId="77777777" w:rsidR="000B0662" w:rsidRPr="00C40457" w:rsidRDefault="000B0662" w:rsidP="000B0662">
      <w:pPr>
        <w:numPr>
          <w:ilvl w:val="1"/>
          <w:numId w:val="50"/>
        </w:numPr>
        <w:spacing w:line="240" w:lineRule="auto"/>
        <w:ind w:left="1440"/>
        <w:textAlignment w:val="baseline"/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b/>
          <w:bCs/>
          <w:color w:val="000000"/>
          <w:sz w:val="24"/>
          <w:szCs w:val="24"/>
          <w:lang w:val="en-PH"/>
        </w:rPr>
        <w:lastRenderedPageBreak/>
        <w:t xml:space="preserve">Government: </w:t>
      </w:r>
      <w:r w:rsidRPr="00C40457">
        <w:rPr>
          <w:rFonts w:ascii="Avenir Book" w:eastAsia="Times New Roman" w:hAnsi="Avenir Book" w:cs="Times New Roman"/>
          <w:color w:val="000000"/>
          <w:sz w:val="24"/>
          <w:szCs w:val="24"/>
          <w:lang w:val="en-PH"/>
        </w:rPr>
        <w:t>Encourage government officials to declare the first Monday in May as the International Day of Hope to further encourage hope activation in the city. </w:t>
      </w:r>
    </w:p>
    <w:p w14:paraId="753BF00A" w14:textId="77777777" w:rsidR="000B0662" w:rsidRPr="00C40457" w:rsidRDefault="000B0662" w:rsidP="000B0662">
      <w:pPr>
        <w:spacing w:after="240" w:line="240" w:lineRule="auto"/>
        <w:ind w:left="0" w:firstLine="0"/>
        <w:rPr>
          <w:rFonts w:ascii="Avenir Book" w:eastAsia="Times New Roman" w:hAnsi="Avenir Book" w:cs="Times New Roman"/>
          <w:sz w:val="24"/>
          <w:szCs w:val="24"/>
          <w:lang w:val="en-PH"/>
        </w:rPr>
      </w:pPr>
      <w:r w:rsidRPr="00C40457">
        <w:rPr>
          <w:rFonts w:ascii="Avenir Book" w:eastAsia="Times New Roman" w:hAnsi="Avenir Book" w:cs="Times New Roman"/>
          <w:sz w:val="24"/>
          <w:szCs w:val="24"/>
          <w:lang w:val="en-PH"/>
        </w:rPr>
        <w:br/>
      </w:r>
      <w:r w:rsidRPr="00C40457">
        <w:rPr>
          <w:rFonts w:ascii="Avenir Book" w:eastAsia="Times New Roman" w:hAnsi="Avenir Book" w:cs="Times New Roman"/>
          <w:sz w:val="24"/>
          <w:szCs w:val="24"/>
          <w:lang w:val="en-PH"/>
        </w:rPr>
        <w:br/>
      </w:r>
      <w:r w:rsidRPr="00C40457">
        <w:rPr>
          <w:rFonts w:ascii="Avenir Book" w:eastAsia="Times New Roman" w:hAnsi="Avenir Book" w:cs="Times New Roman"/>
          <w:sz w:val="24"/>
          <w:szCs w:val="24"/>
          <w:lang w:val="en-PH"/>
        </w:rPr>
        <w:br/>
      </w:r>
      <w:r w:rsidRPr="00C40457">
        <w:rPr>
          <w:rFonts w:ascii="Avenir Book" w:eastAsia="Times New Roman" w:hAnsi="Avenir Book" w:cs="Times New Roman"/>
          <w:sz w:val="24"/>
          <w:szCs w:val="24"/>
          <w:lang w:val="en-PH"/>
        </w:rPr>
        <w:br/>
      </w:r>
      <w:r w:rsidRPr="00C40457">
        <w:rPr>
          <w:rFonts w:ascii="Avenir Book" w:eastAsia="Times New Roman" w:hAnsi="Avenir Book" w:cs="Times New Roman"/>
          <w:sz w:val="24"/>
          <w:szCs w:val="24"/>
          <w:lang w:val="en-PH"/>
        </w:rPr>
        <w:br/>
      </w:r>
      <w:r w:rsidRPr="00C40457">
        <w:rPr>
          <w:rFonts w:ascii="Avenir Book" w:eastAsia="Times New Roman" w:hAnsi="Avenir Book" w:cs="Times New Roman"/>
          <w:sz w:val="24"/>
          <w:szCs w:val="24"/>
          <w:lang w:val="en-PH"/>
        </w:rPr>
        <w:br/>
      </w:r>
      <w:r w:rsidRPr="00C40457">
        <w:rPr>
          <w:rFonts w:ascii="Avenir Book" w:eastAsia="Times New Roman" w:hAnsi="Avenir Book" w:cs="Times New Roman"/>
          <w:sz w:val="24"/>
          <w:szCs w:val="24"/>
          <w:lang w:val="en-PH"/>
        </w:rPr>
        <w:br/>
      </w:r>
    </w:p>
    <w:p w14:paraId="1774A01A" w14:textId="77777777" w:rsidR="000B0662" w:rsidRPr="00C40457" w:rsidRDefault="000B0662" w:rsidP="000B0662">
      <w:pPr>
        <w:spacing w:line="240" w:lineRule="auto"/>
        <w:ind w:left="0" w:firstLine="0"/>
        <w:rPr>
          <w:rFonts w:ascii="Avenir Book" w:eastAsia="Times New Roman" w:hAnsi="Avenir Book" w:cs="Times New Roman"/>
          <w:sz w:val="24"/>
          <w:szCs w:val="24"/>
          <w:lang w:val="en-PH"/>
        </w:rPr>
      </w:pPr>
    </w:p>
    <w:p w14:paraId="0A18F7F2" w14:textId="18A2C316" w:rsidR="00323771" w:rsidRPr="00C40457" w:rsidRDefault="00323771" w:rsidP="000B0662">
      <w:pPr>
        <w:rPr>
          <w:rFonts w:ascii="Avenir Book" w:hAnsi="Avenir Book"/>
        </w:rPr>
      </w:pPr>
    </w:p>
    <w:sectPr w:rsidR="00323771" w:rsidRPr="00C40457" w:rsidSect="00B519D2">
      <w:pgSz w:w="12240" w:h="15840"/>
      <w:pgMar w:top="1440" w:right="1440" w:bottom="127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545E0"/>
    <w:multiLevelType w:val="multilevel"/>
    <w:tmpl w:val="DFDA5E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0D73F42"/>
    <w:multiLevelType w:val="multilevel"/>
    <w:tmpl w:val="FF366B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5447570"/>
    <w:multiLevelType w:val="multilevel"/>
    <w:tmpl w:val="1FD223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C16792F"/>
    <w:multiLevelType w:val="multilevel"/>
    <w:tmpl w:val="C17EA1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1525380"/>
    <w:multiLevelType w:val="multilevel"/>
    <w:tmpl w:val="16F051A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6546E1C"/>
    <w:multiLevelType w:val="multilevel"/>
    <w:tmpl w:val="E81658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8D344BA"/>
    <w:multiLevelType w:val="multilevel"/>
    <w:tmpl w:val="B8A87CC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39547FFE"/>
    <w:multiLevelType w:val="multilevel"/>
    <w:tmpl w:val="FB0C99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3B3F2ADD"/>
    <w:multiLevelType w:val="multilevel"/>
    <w:tmpl w:val="222067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04A2577"/>
    <w:multiLevelType w:val="multilevel"/>
    <w:tmpl w:val="F120F7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2C41305"/>
    <w:multiLevelType w:val="multilevel"/>
    <w:tmpl w:val="B9348A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2E96928"/>
    <w:multiLevelType w:val="multilevel"/>
    <w:tmpl w:val="D1CE82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5611803"/>
    <w:multiLevelType w:val="multilevel"/>
    <w:tmpl w:val="AA087E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8F1248D"/>
    <w:multiLevelType w:val="multilevel"/>
    <w:tmpl w:val="DBE8E4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DBB7734"/>
    <w:multiLevelType w:val="multilevel"/>
    <w:tmpl w:val="CF6CE5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08C7A9A"/>
    <w:multiLevelType w:val="multilevel"/>
    <w:tmpl w:val="5E9C0F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2E5078D"/>
    <w:multiLevelType w:val="multilevel"/>
    <w:tmpl w:val="CD188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8B74A24"/>
    <w:multiLevelType w:val="multilevel"/>
    <w:tmpl w:val="1EA023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B92583F"/>
    <w:multiLevelType w:val="multilevel"/>
    <w:tmpl w:val="4EC2D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2652889">
    <w:abstractNumId w:val="15"/>
  </w:num>
  <w:num w:numId="2" w16cid:durableId="760756310">
    <w:abstractNumId w:val="11"/>
  </w:num>
  <w:num w:numId="3" w16cid:durableId="913928455">
    <w:abstractNumId w:val="13"/>
  </w:num>
  <w:num w:numId="4" w16cid:durableId="1595435522">
    <w:abstractNumId w:val="17"/>
  </w:num>
  <w:num w:numId="5" w16cid:durableId="1867717691">
    <w:abstractNumId w:val="7"/>
  </w:num>
  <w:num w:numId="6" w16cid:durableId="358967893">
    <w:abstractNumId w:val="12"/>
  </w:num>
  <w:num w:numId="7" w16cid:durableId="1580359716">
    <w:abstractNumId w:val="9"/>
  </w:num>
  <w:num w:numId="8" w16cid:durableId="946426509">
    <w:abstractNumId w:val="6"/>
  </w:num>
  <w:num w:numId="9" w16cid:durableId="2038660046">
    <w:abstractNumId w:val="2"/>
  </w:num>
  <w:num w:numId="10" w16cid:durableId="1668485445">
    <w:abstractNumId w:val="4"/>
  </w:num>
  <w:num w:numId="11" w16cid:durableId="306669080">
    <w:abstractNumId w:val="10"/>
  </w:num>
  <w:num w:numId="12" w16cid:durableId="1310744546">
    <w:abstractNumId w:val="8"/>
  </w:num>
  <w:num w:numId="13" w16cid:durableId="2085300472">
    <w:abstractNumId w:val="5"/>
  </w:num>
  <w:num w:numId="14" w16cid:durableId="39594708">
    <w:abstractNumId w:val="0"/>
  </w:num>
  <w:num w:numId="15" w16cid:durableId="1462918628">
    <w:abstractNumId w:val="16"/>
  </w:num>
  <w:num w:numId="16" w16cid:durableId="178810876">
    <w:abstractNumId w:val="1"/>
  </w:num>
  <w:num w:numId="17" w16cid:durableId="213009287">
    <w:abstractNumId w:val="14"/>
  </w:num>
  <w:num w:numId="18" w16cid:durableId="1265726696">
    <w:abstractNumId w:val="3"/>
  </w:num>
  <w:num w:numId="19" w16cid:durableId="1432776778">
    <w:abstractNumId w:val="18"/>
  </w:num>
  <w:num w:numId="20" w16cid:durableId="504172775">
    <w:abstractNumId w:val="18"/>
    <w:lvlOverride w:ilvl="1">
      <w:lvl w:ilvl="1">
        <w:numFmt w:val="lowerLetter"/>
        <w:lvlText w:val="%2."/>
        <w:lvlJc w:val="left"/>
      </w:lvl>
    </w:lvlOverride>
  </w:num>
  <w:num w:numId="21" w16cid:durableId="453137545">
    <w:abstractNumId w:val="18"/>
    <w:lvlOverride w:ilvl="1">
      <w:lvl w:ilvl="1">
        <w:numFmt w:val="lowerLetter"/>
        <w:lvlText w:val="%2."/>
        <w:lvlJc w:val="left"/>
      </w:lvl>
    </w:lvlOverride>
  </w:num>
  <w:num w:numId="22" w16cid:durableId="172889093">
    <w:abstractNumId w:val="18"/>
    <w:lvlOverride w:ilvl="1">
      <w:lvl w:ilvl="1">
        <w:numFmt w:val="lowerLetter"/>
        <w:lvlText w:val="%2."/>
        <w:lvlJc w:val="left"/>
      </w:lvl>
    </w:lvlOverride>
  </w:num>
  <w:num w:numId="23" w16cid:durableId="850997441">
    <w:abstractNumId w:val="18"/>
    <w:lvlOverride w:ilvl="2">
      <w:lvl w:ilvl="2">
        <w:numFmt w:val="lowerRoman"/>
        <w:lvlText w:val="%3."/>
        <w:lvlJc w:val="right"/>
      </w:lvl>
    </w:lvlOverride>
  </w:num>
  <w:num w:numId="24" w16cid:durableId="1350984690">
    <w:abstractNumId w:val="18"/>
    <w:lvlOverride w:ilvl="2">
      <w:lvl w:ilvl="2">
        <w:numFmt w:val="lowerRoman"/>
        <w:lvlText w:val="%3."/>
        <w:lvlJc w:val="right"/>
      </w:lvl>
    </w:lvlOverride>
  </w:num>
  <w:num w:numId="25" w16cid:durableId="1530290313">
    <w:abstractNumId w:val="18"/>
    <w:lvlOverride w:ilvl="2">
      <w:lvl w:ilvl="2">
        <w:numFmt w:val="lowerRoman"/>
        <w:lvlText w:val="%3."/>
        <w:lvlJc w:val="right"/>
      </w:lvl>
    </w:lvlOverride>
  </w:num>
  <w:num w:numId="26" w16cid:durableId="1604653074">
    <w:abstractNumId w:val="18"/>
    <w:lvlOverride w:ilvl="2">
      <w:lvl w:ilvl="2">
        <w:numFmt w:val="lowerRoman"/>
        <w:lvlText w:val="%3."/>
        <w:lvlJc w:val="right"/>
      </w:lvl>
    </w:lvlOverride>
  </w:num>
  <w:num w:numId="27" w16cid:durableId="1832141413">
    <w:abstractNumId w:val="18"/>
    <w:lvlOverride w:ilvl="2">
      <w:lvl w:ilvl="2">
        <w:numFmt w:val="lowerRoman"/>
        <w:lvlText w:val="%3."/>
        <w:lvlJc w:val="right"/>
      </w:lvl>
    </w:lvlOverride>
  </w:num>
  <w:num w:numId="28" w16cid:durableId="1373920981">
    <w:abstractNumId w:val="18"/>
    <w:lvlOverride w:ilvl="2">
      <w:lvl w:ilvl="2">
        <w:numFmt w:val="lowerRoman"/>
        <w:lvlText w:val="%3."/>
        <w:lvlJc w:val="right"/>
      </w:lvl>
    </w:lvlOverride>
  </w:num>
  <w:num w:numId="29" w16cid:durableId="1167405488">
    <w:abstractNumId w:val="18"/>
    <w:lvlOverride w:ilvl="2">
      <w:lvl w:ilvl="2">
        <w:numFmt w:val="lowerRoman"/>
        <w:lvlText w:val="%3."/>
        <w:lvlJc w:val="right"/>
      </w:lvl>
    </w:lvlOverride>
  </w:num>
  <w:num w:numId="30" w16cid:durableId="1616476965">
    <w:abstractNumId w:val="18"/>
    <w:lvlOverride w:ilvl="2">
      <w:lvl w:ilvl="2">
        <w:numFmt w:val="lowerRoman"/>
        <w:lvlText w:val="%3."/>
        <w:lvlJc w:val="right"/>
      </w:lvl>
    </w:lvlOverride>
  </w:num>
  <w:num w:numId="31" w16cid:durableId="321003677">
    <w:abstractNumId w:val="18"/>
    <w:lvlOverride w:ilvl="2">
      <w:lvl w:ilvl="2">
        <w:numFmt w:val="lowerRoman"/>
        <w:lvlText w:val="%3."/>
        <w:lvlJc w:val="right"/>
      </w:lvl>
    </w:lvlOverride>
  </w:num>
  <w:num w:numId="32" w16cid:durableId="1232812107">
    <w:abstractNumId w:val="18"/>
    <w:lvlOverride w:ilvl="2">
      <w:lvl w:ilvl="2">
        <w:numFmt w:val="lowerRoman"/>
        <w:lvlText w:val="%3."/>
        <w:lvlJc w:val="right"/>
      </w:lvl>
    </w:lvlOverride>
  </w:num>
  <w:num w:numId="33" w16cid:durableId="1743529794">
    <w:abstractNumId w:val="18"/>
    <w:lvlOverride w:ilvl="1">
      <w:lvl w:ilvl="1">
        <w:numFmt w:val="lowerLetter"/>
        <w:lvlText w:val="%2."/>
        <w:lvlJc w:val="left"/>
      </w:lvl>
    </w:lvlOverride>
  </w:num>
  <w:num w:numId="34" w16cid:durableId="1208444854">
    <w:abstractNumId w:val="18"/>
    <w:lvlOverride w:ilvl="2">
      <w:lvl w:ilvl="2">
        <w:numFmt w:val="lowerRoman"/>
        <w:lvlText w:val="%3."/>
        <w:lvlJc w:val="right"/>
      </w:lvl>
    </w:lvlOverride>
  </w:num>
  <w:num w:numId="35" w16cid:durableId="1238246552">
    <w:abstractNumId w:val="18"/>
    <w:lvlOverride w:ilvl="1">
      <w:lvl w:ilvl="1">
        <w:numFmt w:val="lowerLetter"/>
        <w:lvlText w:val="%2."/>
        <w:lvlJc w:val="left"/>
      </w:lvl>
    </w:lvlOverride>
  </w:num>
  <w:num w:numId="36" w16cid:durableId="84111458">
    <w:abstractNumId w:val="18"/>
    <w:lvlOverride w:ilvl="1">
      <w:lvl w:ilvl="1">
        <w:numFmt w:val="lowerLetter"/>
        <w:lvlText w:val="%2."/>
        <w:lvlJc w:val="left"/>
      </w:lvl>
    </w:lvlOverride>
  </w:num>
  <w:num w:numId="37" w16cid:durableId="155001435">
    <w:abstractNumId w:val="18"/>
    <w:lvlOverride w:ilvl="1">
      <w:lvl w:ilvl="1">
        <w:numFmt w:val="lowerLetter"/>
        <w:lvlText w:val="%2."/>
        <w:lvlJc w:val="left"/>
      </w:lvl>
    </w:lvlOverride>
  </w:num>
  <w:num w:numId="38" w16cid:durableId="950893980">
    <w:abstractNumId w:val="18"/>
    <w:lvlOverride w:ilvl="2">
      <w:lvl w:ilvl="2">
        <w:numFmt w:val="lowerRoman"/>
        <w:lvlText w:val="%3."/>
        <w:lvlJc w:val="right"/>
      </w:lvl>
    </w:lvlOverride>
  </w:num>
  <w:num w:numId="39" w16cid:durableId="2084255011">
    <w:abstractNumId w:val="18"/>
    <w:lvlOverride w:ilvl="2">
      <w:lvl w:ilvl="2">
        <w:numFmt w:val="lowerRoman"/>
        <w:lvlText w:val="%3."/>
        <w:lvlJc w:val="right"/>
      </w:lvl>
    </w:lvlOverride>
  </w:num>
  <w:num w:numId="40" w16cid:durableId="2033844618">
    <w:abstractNumId w:val="18"/>
    <w:lvlOverride w:ilvl="2">
      <w:lvl w:ilvl="2">
        <w:numFmt w:val="lowerRoman"/>
        <w:lvlText w:val="%3."/>
        <w:lvlJc w:val="right"/>
      </w:lvl>
    </w:lvlOverride>
  </w:num>
  <w:num w:numId="41" w16cid:durableId="1383288367">
    <w:abstractNumId w:val="18"/>
    <w:lvlOverride w:ilvl="2">
      <w:lvl w:ilvl="2">
        <w:numFmt w:val="lowerRoman"/>
        <w:lvlText w:val="%3."/>
        <w:lvlJc w:val="right"/>
      </w:lvl>
    </w:lvlOverride>
  </w:num>
  <w:num w:numId="42" w16cid:durableId="493763137">
    <w:abstractNumId w:val="18"/>
    <w:lvlOverride w:ilvl="2">
      <w:lvl w:ilvl="2">
        <w:numFmt w:val="lowerRoman"/>
        <w:lvlText w:val="%3."/>
        <w:lvlJc w:val="right"/>
      </w:lvl>
    </w:lvlOverride>
  </w:num>
  <w:num w:numId="43" w16cid:durableId="1658192696">
    <w:abstractNumId w:val="18"/>
    <w:lvlOverride w:ilvl="2">
      <w:lvl w:ilvl="2">
        <w:numFmt w:val="lowerRoman"/>
        <w:lvlText w:val="%3."/>
        <w:lvlJc w:val="right"/>
      </w:lvl>
    </w:lvlOverride>
  </w:num>
  <w:num w:numId="44" w16cid:durableId="1010595560">
    <w:abstractNumId w:val="18"/>
    <w:lvlOverride w:ilvl="1">
      <w:lvl w:ilvl="1">
        <w:numFmt w:val="lowerLetter"/>
        <w:lvlText w:val="%2."/>
        <w:lvlJc w:val="left"/>
      </w:lvl>
    </w:lvlOverride>
  </w:num>
  <w:num w:numId="45" w16cid:durableId="1830438116">
    <w:abstractNumId w:val="18"/>
    <w:lvlOverride w:ilvl="1">
      <w:lvl w:ilvl="1">
        <w:numFmt w:val="lowerLetter"/>
        <w:lvlText w:val="%2."/>
        <w:lvlJc w:val="left"/>
      </w:lvl>
    </w:lvlOverride>
  </w:num>
  <w:num w:numId="46" w16cid:durableId="926503652">
    <w:abstractNumId w:val="18"/>
    <w:lvlOverride w:ilvl="1">
      <w:lvl w:ilvl="1">
        <w:numFmt w:val="lowerLetter"/>
        <w:lvlText w:val="%2."/>
        <w:lvlJc w:val="left"/>
      </w:lvl>
    </w:lvlOverride>
  </w:num>
  <w:num w:numId="47" w16cid:durableId="2005473511">
    <w:abstractNumId w:val="18"/>
    <w:lvlOverride w:ilvl="2">
      <w:lvl w:ilvl="2">
        <w:numFmt w:val="lowerRoman"/>
        <w:lvlText w:val="%3."/>
        <w:lvlJc w:val="right"/>
      </w:lvl>
    </w:lvlOverride>
  </w:num>
  <w:num w:numId="48" w16cid:durableId="1215390860">
    <w:abstractNumId w:val="18"/>
    <w:lvlOverride w:ilvl="1">
      <w:lvl w:ilvl="1">
        <w:numFmt w:val="lowerLetter"/>
        <w:lvlText w:val="%2."/>
        <w:lvlJc w:val="left"/>
      </w:lvl>
    </w:lvlOverride>
  </w:num>
  <w:num w:numId="49" w16cid:durableId="1713920092">
    <w:abstractNumId w:val="18"/>
    <w:lvlOverride w:ilvl="1">
      <w:lvl w:ilvl="1">
        <w:numFmt w:val="lowerLetter"/>
        <w:lvlText w:val="%2."/>
        <w:lvlJc w:val="left"/>
      </w:lvl>
    </w:lvlOverride>
  </w:num>
  <w:num w:numId="50" w16cid:durableId="2007047517">
    <w:abstractNumId w:val="18"/>
    <w:lvlOverride w:ilvl="1">
      <w:lvl w:ilvl="1">
        <w:numFmt w:val="lowerLetter"/>
        <w:lvlText w:val="%2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771"/>
    <w:rsid w:val="000B0662"/>
    <w:rsid w:val="00323771"/>
    <w:rsid w:val="008E14A5"/>
    <w:rsid w:val="00B519D2"/>
    <w:rsid w:val="00C4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A62293"/>
  <w15:docId w15:val="{5E150B88-C531-6746-8C4F-D9F283CF8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  <w:ind w:left="2880" w:hanging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semiHidden/>
    <w:unhideWhenUsed/>
    <w:rsid w:val="000B0662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val="en-PH"/>
    </w:rPr>
  </w:style>
  <w:style w:type="character" w:styleId="Hyperlink">
    <w:name w:val="Hyperlink"/>
    <w:basedOn w:val="DefaultParagraphFont"/>
    <w:uiPriority w:val="99"/>
    <w:semiHidden/>
    <w:unhideWhenUsed/>
    <w:rsid w:val="000B06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5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28612621/" TargetMode="External"/><Relationship Id="rId13" Type="http://schemas.openxmlformats.org/officeDocument/2006/relationships/hyperlink" Target="https://www.ncbi.nlm.nih.gov/pmc/articles/PMC4481312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library.wiley.com/doi/full/10.1002/bse.3126" TargetMode="External"/><Relationship Id="rId12" Type="http://schemas.openxmlformats.org/officeDocument/2006/relationships/hyperlink" Target="https://www.remedypublications.com/open-access/hope-theory-and-its-relation-to-depression-a-systematic-review-168.pdf" TargetMode="External"/><Relationship Id="rId17" Type="http://schemas.openxmlformats.org/officeDocument/2006/relationships/hyperlink" Target="https://pubmed.ncbi.nlm.nih.gov/27083119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who.int/news-room/fact-sheets/detail/depressio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apa.org/monitor/2013/10/mission-impossible" TargetMode="External"/><Relationship Id="rId11" Type="http://schemas.openxmlformats.org/officeDocument/2006/relationships/hyperlink" Target="https://www.hsph.harvard.edu/news/hsph-in-the-news/health-benefits-of-hope/" TargetMode="External"/><Relationship Id="rId5" Type="http://schemas.openxmlformats.org/officeDocument/2006/relationships/hyperlink" Target="https://pubmed.ncbi.nlm.nih.gov/33223782/" TargetMode="External"/><Relationship Id="rId15" Type="http://schemas.openxmlformats.org/officeDocument/2006/relationships/hyperlink" Target="https://www.yahoo.com/now/employers-invest-mental-health-see-193953609.html" TargetMode="External"/><Relationship Id="rId10" Type="http://schemas.openxmlformats.org/officeDocument/2006/relationships/hyperlink" Target="https://pubmed.ncbi.nlm.nih.gov/33223782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sciencedirect.com/science/article/pii/S2352250X22002718?casa_token=vf4jwSMJIA0AAAAA:fBbu-s1ARTq-u6jP61rHmne2sf8iXf-2bMCqf08DdlpDUgnmUMdLmQKinLxLW8LVQKbU6ayK" TargetMode="External"/><Relationship Id="rId14" Type="http://schemas.openxmlformats.org/officeDocument/2006/relationships/hyperlink" Target="https://psycnet.apa.org/record/1991-17270-0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701</Words>
  <Characters>4002</Characters>
  <Application>Microsoft Office Word</Application>
  <DocSecurity>0</DocSecurity>
  <Lines>33</Lines>
  <Paragraphs>9</Paragraphs>
  <ScaleCrop>false</ScaleCrop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Michael John Fariscal</cp:lastModifiedBy>
  <cp:revision>3</cp:revision>
  <dcterms:created xsi:type="dcterms:W3CDTF">2024-01-10T14:40:00Z</dcterms:created>
  <dcterms:modified xsi:type="dcterms:W3CDTF">2024-01-20T16:52:00Z</dcterms:modified>
</cp:coreProperties>
</file>